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労働環境確認表（使用している全ての労働者の労働環境について、本表提出時の実態に基づいて記入すること。）</w:t>
      </w:r>
    </w:p>
    <w:p>
      <w:pPr>
        <w:pStyle w:val="0"/>
        <w:rPr>
          <w:rFonts w:hint="default" w:asciiTheme="majorEastAsia" w:hAnsiTheme="majorEastAsia" w:eastAsiaTheme="majorEastAsia"/>
        </w:rPr>
      </w:pPr>
    </w:p>
    <w:tbl>
      <w:tblPr>
        <w:tblStyle w:val="26"/>
        <w:tblW w:w="87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4"/>
        <w:gridCol w:w="1218"/>
        <w:gridCol w:w="1372"/>
        <w:gridCol w:w="1915"/>
        <w:gridCol w:w="2102"/>
      </w:tblGrid>
      <w:tr>
        <w:trPr>
          <w:cantSplit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2019"/>
              </w:tabs>
              <w:ind w:right="34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使用している労働者数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総数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人</w:t>
            </w:r>
          </w:p>
        </w:tc>
        <w:tc>
          <w:tcPr>
            <w:tcW w:w="1372" w:type="dxa"/>
            <w:tcBorders>
              <w:top w:val="single" w:color="auto" w:sz="4" w:space="0"/>
              <w:left w:val="dashSmallGap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うち正職員</w:t>
            </w:r>
          </w:p>
          <w:p>
            <w:pPr>
              <w:pStyle w:val="0"/>
              <w:ind w:firstLine="180" w:firstLine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人</w:t>
            </w:r>
          </w:p>
        </w:tc>
        <w:tc>
          <w:tcPr>
            <w:tcW w:w="191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うちﾊﾟｰﾄ・ｱﾙﾊﾞｲﾄ</w:t>
            </w:r>
          </w:p>
          <w:p>
            <w:pPr>
              <w:pStyle w:val="0"/>
              <w:ind w:firstLine="720" w:firstLineChars="4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人</w:t>
            </w:r>
          </w:p>
        </w:tc>
        <w:tc>
          <w:tcPr>
            <w:tcW w:w="2102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うち左記以外の職員</w:t>
            </w:r>
          </w:p>
          <w:p>
            <w:pPr>
              <w:pStyle w:val="0"/>
              <w:ind w:firstLine="900" w:firstLineChars="5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人</w:t>
            </w:r>
          </w:p>
        </w:tc>
      </w:tr>
    </w:tbl>
    <w:p>
      <w:pPr>
        <w:pStyle w:val="0"/>
        <w:rPr>
          <w:rFonts w:hint="default" w:asciiTheme="majorEastAsia" w:hAnsiTheme="majorEastAsia" w:eastAsiaTheme="majorEastAsia"/>
          <w:sz w:val="18"/>
        </w:rPr>
      </w:pPr>
    </w:p>
    <w:tbl>
      <w:tblPr>
        <w:tblStyle w:val="26"/>
        <w:tblW w:w="8736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233"/>
        <w:gridCol w:w="5967"/>
        <w:gridCol w:w="1536"/>
      </w:tblGrid>
      <w:tr>
        <w:trPr/>
        <w:tc>
          <w:tcPr>
            <w:tcW w:w="1233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区分</w:t>
            </w:r>
          </w:p>
        </w:tc>
        <w:tc>
          <w:tcPr>
            <w:tcW w:w="5967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確認項目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確認結果</w:t>
            </w:r>
          </w:p>
        </w:tc>
      </w:tr>
      <w:tr>
        <w:trPr>
          <w:trHeight w:val="314" w:hRule="atLeast"/>
        </w:trPr>
        <w:tc>
          <w:tcPr>
            <w:tcW w:w="1233" w:type="dxa"/>
            <w:vMerge w:val="restart"/>
            <w:vAlign w:val="top"/>
          </w:tcPr>
          <w:p>
            <w:pPr>
              <w:pStyle w:val="0"/>
              <w:ind w:left="90" w:hanging="90" w:hanging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１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労働条件</w:t>
            </w: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⑴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労働契約に定める労働条件は、労働基準法で定める基準による適正な内容である。【基準法１３】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>
          <w:trHeight w:val="361" w:hRule="atLeast"/>
        </w:trPr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⑵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労働契約の締結に際し、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sz w:val="18"/>
              </w:rPr>
              <w:t>労働者に対して労働条件を明示している。【基準法１５】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>
          <w:trHeight w:val="280" w:hRule="atLeast"/>
        </w:trPr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⑶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就業規則を作成し労働基準監督署に届け出ている。【基準法８９】</w:t>
            </w:r>
          </w:p>
          <w:p>
            <w:pPr>
              <w:pStyle w:val="0"/>
              <w:ind w:left="210" w:left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常時１０人以上の労働者を使用する使用者以外の使用者は対象外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対象外</w:t>
            </w:r>
          </w:p>
        </w:tc>
      </w:tr>
      <w:tr>
        <w:trPr>
          <w:trHeight w:val="280" w:hRule="atLeast"/>
        </w:trPr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⑷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就業規則を労働者に周知させている。【基準法１０６】</w:t>
            </w:r>
          </w:p>
          <w:p>
            <w:pPr>
              <w:pStyle w:val="0"/>
              <w:ind w:firstLine="180" w:firstLine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常時１０人以上の労働者を使用する使用者以外の使用者は対象外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対象外</w:t>
            </w:r>
          </w:p>
        </w:tc>
      </w:tr>
      <w:tr>
        <w:trPr/>
        <w:tc>
          <w:tcPr>
            <w:tcW w:w="1233" w:type="dxa"/>
            <w:vMerge w:val="restart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２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労働時間</w:t>
            </w: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⑴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労働時間の管理並びに休憩、休日及び年次有給休暇の付与を適正に行っている。【基準法３２・３４・３５・３９】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⑵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時間外及び休日の労働に関する協定（３６協定）を締結し、労働基準監督署に届け出ている。【基準法３６】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対象外</w:t>
            </w:r>
          </w:p>
        </w:tc>
      </w:tr>
      <w:tr>
        <w:trPr/>
        <w:tc>
          <w:tcPr>
            <w:tcW w:w="1233" w:type="dxa"/>
            <w:vMerge w:val="restart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３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保険加入</w:t>
            </w:r>
          </w:p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・安全衛生</w:t>
            </w: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⑴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労働保険及び社会保険の加入等の手続を適正に行っている。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⑵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常時使用する労働者に対し、雇入時の健康診断及び定期健康診断を行っている。【安全法６６】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restart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４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賃金</w:t>
            </w: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⑴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賃金の全額を、直接労働者に、毎月１回以上、一定の期日を定めて支払っている。【基準法２４】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⑵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時間外、休日及び深夜の割増賃金を適正に支払っている。</w:t>
            </w:r>
          </w:p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　【基準法３７】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⑶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賃金台帳を調製し、これに基づき適正に賃金計算を行っている。</w:t>
            </w:r>
          </w:p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　【基準法１０８】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ind w:firstLine="90" w:firstLineChars="5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はい・いいえ</w:t>
            </w:r>
          </w:p>
        </w:tc>
      </w:tr>
      <w:tr>
        <w:trPr/>
        <w:tc>
          <w:tcPr>
            <w:tcW w:w="1233" w:type="dxa"/>
            <w:vMerge w:val="continue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967" w:type="dxa"/>
            <w:vAlign w:val="top"/>
          </w:tcPr>
          <w:p>
            <w:pPr>
              <w:pStyle w:val="0"/>
              <w:ind w:left="180" w:hanging="180" w:hangingChars="10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⑷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使用している全ての労働者の賃金単価で最も低いものは、右欄のとおりである。</w:t>
            </w:r>
          </w:p>
        </w:tc>
        <w:tc>
          <w:tcPr>
            <w:tcW w:w="1536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8"/>
                <w:u w:val="single" w:color="auto"/>
              </w:rPr>
              <w:t>　　　</w:t>
            </w:r>
            <w:r>
              <w:rPr>
                <w:rFonts w:hint="eastAsia" w:asciiTheme="majorEastAsia" w:hAnsiTheme="majorEastAsia" w:eastAsiaTheme="majorEastAsia"/>
                <w:w w:val="80"/>
                <w:sz w:val="18"/>
              </w:rPr>
              <w:t>円</w:t>
            </w:r>
            <w:r>
              <w:rPr>
                <w:rFonts w:hint="eastAsia" w:asciiTheme="majorEastAsia" w:hAnsiTheme="majorEastAsia" w:eastAsiaTheme="majorEastAsia"/>
                <w:w w:val="80"/>
                <w:sz w:val="18"/>
              </w:rPr>
              <w:t>/</w:t>
            </w:r>
            <w:r>
              <w:rPr>
                <w:rFonts w:hint="eastAsia" w:asciiTheme="majorEastAsia" w:hAnsiTheme="majorEastAsia" w:eastAsiaTheme="majorEastAsia"/>
                <w:w w:val="80"/>
                <w:sz w:val="18"/>
              </w:rPr>
              <w:t>時間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地域＿＿＿＿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業種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＿＿＿＿</w:t>
            </w:r>
          </w:p>
        </w:tc>
      </w:tr>
    </w:tbl>
    <w:p>
      <w:pPr>
        <w:pStyle w:val="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※【基準法○○】：労働基準法第○○条・【安全法○○】：労働安全衛生法第○○条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【特記事項】（確認結果が「いいえ」の項目について、その理由、改善予定等を記入すること。）</w:t>
      </w:r>
    </w:p>
    <w:tbl>
      <w:tblPr>
        <w:tblStyle w:val="26"/>
        <w:tblW w:w="873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31"/>
      </w:tblGrid>
      <w:tr>
        <w:trPr>
          <w:trHeight w:val="730" w:hRule="atLeast"/>
        </w:trPr>
        <w:tc>
          <w:tcPr>
            <w:tcW w:w="8731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【記入要領】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１　各項目の確認結果の欄の「はい」、「いいえ」又は「対象外」のうち、該当するものを○で囲むこと。ただし、区分４の確認項目⑷の確認結果の欄には、金額並びに支払われる地域（都道府県）及び業種を記入すること。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２　区分４の確認項目⑷の確認結果の欄に記入する金額は、次の計算方法によること。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⑴　時間給制の場合…時間給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⑵　日給制の場合…日給÷１日の所定労働時間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⑶　月給制の場合…月給÷１か月平均所定労働時間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　ただし、次の賃金を除外する。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①　臨時に支払われる賃金（結婚手当など）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②　１か月を超える期間ごとに支払われる賃金（賞与など）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③　所定労働時間を超える時間の労働に対して支払われる賃金（時間外割増賃金など）</w:t>
      </w: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④　所定労働日以外の日の労働に対して支払われる賃金（休日割増賃金など）</w:t>
      </w: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⑤　午後１０時から午前５時までの間の労働に対して支払われる賃金のうち、通常の労働時間の賃金の計算額を超える部分（深夜割増賃金など）</w:t>
      </w: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　　⑥　精皆勤手当、通勤手当及び家族手当</w:t>
      </w: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540" w:hanging="540" w:hangingChars="30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left="180" w:hanging="180" w:hangingChars="100"/>
        <w:rPr>
          <w:rFonts w:hint="default" w:asciiTheme="majorEastAsia" w:hAnsiTheme="majorEastAsia" w:eastAsiaTheme="majorEastAsia"/>
          <w:sz w:val="18"/>
        </w:rPr>
      </w:pPr>
      <w:r>
        <w:rPr>
          <w:rFonts w:hint="eastAsia" w:asciiTheme="majorEastAsia" w:hAnsiTheme="majorEastAsia" w:eastAsiaTheme="majorEastAsia"/>
          <w:sz w:val="18"/>
        </w:rPr>
        <w:t>※　記載漏れ、虚偽の記載等があった場合は、審査段階において失格とされ、又は指定が取り消されることがある。</w:t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pitch w:val="fixed"/>
    <w:sig w:usb0="00000000" w:usb1="00000000" w:usb2="00000000" w:usb3="00000000" w:csb0="0002009F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 w:ascii="HG丸ｺﾞｼｯｸM-PRO" w:hAnsi="HG丸ｺﾞｼｯｸM-PRO" w:eastAsia="HG丸ｺﾞｼｯｸM-PRO"/>
      </w:rPr>
    </w:pPr>
    <w:r>
      <w:rPr>
        <w:rFonts w:hint="eastAsia" w:ascii="HG丸ｺﾞｼｯｸM-PRO" w:hAnsi="HG丸ｺﾞｼｯｸM-PRO" w:eastAsia="HG丸ｺﾞｼｯｸM-PRO"/>
      </w:rPr>
      <w:t>（申請７）</w:t>
    </w:r>
  </w:p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</w:style>
  <w:style w:type="character" w:styleId="23" w:customStyle="1">
    <w:name w:val="記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2</Pages>
  <Words>0</Words>
  <Characters>1292</Characters>
  <Application>JUST Note</Application>
  <Lines>413</Lines>
  <Paragraphs>67</Paragraphs>
  <CharactersWithSpaces>1359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深田 龍</dc:creator>
  <cp:lastModifiedBy>石塚 未央</cp:lastModifiedBy>
  <cp:lastPrinted>2021-07-01T10:10:00Z</cp:lastPrinted>
  <dcterms:created xsi:type="dcterms:W3CDTF">2017-01-13T04:21:00Z</dcterms:created>
  <dcterms:modified xsi:type="dcterms:W3CDTF">2025-07-09T01:13:59Z</dcterms:modified>
  <cp:revision>19</cp:revision>
</cp:coreProperties>
</file>